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УТВЕРЖДЕНО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980" w:line="240" w:lineRule="auto"/>
        <w:ind w:left="7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Решением Организационного комитета Конкурса № 01 от 23.03.2026 г.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ПОЛОЖЕНИЕ</w:t>
      </w:r>
      <w:bookmarkEnd w:id="0"/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 Республиканском конкурсе в сфере энергоэффективности,</w:t>
        <w:br/>
        <w:t>ресурсосбережения и экологичности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960"/>
        <w:jc w:val="left"/>
        <w:sectPr>
          <w:footerReference w:type="default" r:id="rId5"/>
          <w:footnotePr>
            <w:pos w:val="pageBottom"/>
            <w:numFmt w:val="decimal"/>
            <w:numRestart w:val="continuous"/>
          </w:footnotePr>
          <w:pgSz w:w="11900" w:h="16840"/>
          <w:pgMar w:top="1134" w:right="808" w:bottom="1177" w:left="1386" w:header="706" w:footer="3" w:gutter="0"/>
          <w:pgNumType w:start="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«Лидер энергоэффективности Республики Беларусь-2026»</w:t>
      </w:r>
    </w:p>
    <w:p>
      <w:pPr>
        <w:pStyle w:val="Style11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1042" w:val="left"/>
        </w:tabs>
        <w:bidi w:val="0"/>
        <w:spacing w:before="200" w:after="0" w:line="240" w:lineRule="auto"/>
        <w:ind w:left="0" w:right="0"/>
        <w:jc w:val="both"/>
      </w:pPr>
      <w:bookmarkStart w:id="2" w:name="bookmark2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Общие положения</w:t>
      </w:r>
      <w:bookmarkEnd w:id="2"/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30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Настоящим Положением устанавливается порядок организации и проведения Республиканского конкурса в сфере энергоэффективности, ресурсосбережения и экологичности «Лидер энергоэффективности Республики Беларусь» (далее - Конкурс).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30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Конкурс проводится по инициативе организаций - устроителей конкурса: Департамента по энергоэффективности Государственного комитета по стандартизации Республики Беларусь, Научно-исследовательского и проектного республиканского унитарного предприятия «БЕЛТЭИ», Республиканского научно-производственного унитарного предприятия «Институт энергетики Национальной академии наук Беларуси», Центра поддержки предпринимательства ООО «Деловые медиа».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30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Конкурс представляет собой комплекс мероприятий, направленных на выявление и последующую популяризацию энергоэффективных продуктов (товаров, оборудования, систем, технологий, зданий и др.), представленных на рынке Республики Беларусь и позволяющих наиболее эффективно сократить потребление топливно-энергетических ресурсов.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30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Победа в конкурсе присуждается предприятиям (организациям) за достижение значительных результатов в области разработки, производства, внедрения, продвижения энергоэффективных, ресурсосберегающих, экологичных продуктов, технологий, решений, оборудования проектов и т.д. в виде дипломов установленного образца и права на использования Знака конкурса «Лидер энергоэффективности Республики Беларусь» (соответственно году присуждения проведения).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30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настоящем Положении используются следующие термины и определения: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Продукт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обобщенное понятие для обладающих энергоэффективными свойствами материалов, изделий, систем, технологий, зданий, проектов, которые могут быть представлены заявителями на Конкурс.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Заявитель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юридическое лицо, подавшее заявку(и) на конкурс в соответствии с требованиями настоящего Положения, заключившее договор с Техническим организатором Конкурса и оплатившее организационный взнос.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Участник конкурса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заявитель, предоставивший конкурсный пакет в соответствии с установленными требованиями и прошедший процедуру предварительной оценки заявленного им продукта(ов).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Победитель конкурса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участник конкурса, прошедший процедуру оценки заявленного им продукта(ов) и получивший диплом установленного образца о присвоении данному(ым) продукту(ам) Знака «Лидер энергоэффективности». Организация - победитель Конкурса получает право именоваться Победитель конкурса.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Победитель конкурса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статус, который присваивается участнику конкурса в случае одобрения его заявки Экспертным советом конкурса.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Награды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диплом установленного образца и статуэтка-символ, дающие организации-участнику именоваться Победителем конкурса и использовать Знак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конкурса «Лидер энергоэффективности Республики Беларусь» в рекламных целях.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Диплом победителя, в зависимости от оценки потенциала (оценивается экспертами конкурса), имеет три степени: 1-2-3 место в каждой номинации.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Кроме этого, за инновации, технический прогресс, прорывные технологии, высокую значимость проекта в республиканском масштабе по решению Экспертного совета возможно вручение главной награды - Гран-при конкурса. Приз вручается только одному предприятию из числа победителей.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Конкурсный пакет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пакет документов, формируемый заявителем и передаваемый в Оргкомитет для участия в Конкурсе.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конкурсный пакет входят: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400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Заявка по установленной форме (подается на бумажном носителе и в электронном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txt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формате);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400" w:val="left"/>
          <w:tab w:pos="214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Аналитическая справка в свободной форме (подается на бумажном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носителе и в электронном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txt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формате);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400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Любые документы, которые подтверждают заявленные характеристики поданного на конкурс продукта (Заявитель определяет их самостоятельно, оргкомитет может рекомендовать возможные документы).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Оценка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первичная процедура, которая проводится Председателем или заместителем председателя Экспертного совета и предусматривает последовательное изучение представленных на конкурс материалов по заявленному продукту, представленных Заявителем. Включает оценку эффективности технических, экономических, экологических и прочих показателей, характеризующих продукт (материал, технологию, объект и др.) Результатом оценки является решение о допуске к конкурсу для последующей экспертной оценки или отказе в допуске к участию в конкурсе.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Экспертиза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часть процедуры оценки, которая предусматривает углубленный анализ уполномоченными членами Экспертного совета конкурсных пакетов, представленных заявителями.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Экспертиза проводится в три этапа: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первый этап экспертизы - отборочный тур (специалистами оргкомитета и заместителями председателя Экспертного совета проводится проверка полноты представленных на конкурс документов участников);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второй этап - профессиональная экспертиза (углубленная проверка представленного пакета документов группой уполномоченных профильных экспертов);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третий этап - заседание Экспертного совета (в составе все профильные эксперты, а также приглашенные независимые специалисты в статусе общественных экспертов).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Результатом всех этапов экспертизы является письменное заключение с рекомендацией о присуждении (с указанием статуса награды) либо не присуждении награды конкурса.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Категория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обобщенное название, объединяющее типовые номинации.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Номинация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конкретное, узкопрофильное название по определенному типу для энергоэффективных продуктов (материалов, решений, систем, технологий, оборудования, объектов, проектов), объединенных в категории по сходным (подобным) чертам, параметрам, характеристикам, критериям оценки.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Проходной балл -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минимальный порог суммы баллов, который должны набрать претенденты в результате экспертной оценки для присуждения звания «Победитель конкурса».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Технический организатор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исполнитель организационных мероприятий от лица оргкомитета - в течение всего хода конкурса (подготовительный период, сбор заявок, организация экспертных оценок и процедур, проведение церемонии награждения и рекламной кампании и др.).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202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Цели конкурса: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147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внедрение передовых энергоэффективных, ресурсосберегающих, экологичных продуктов, технологий, решений, систем, проектов и т.д. в различных отраслях экономики;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147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вовлечение предприятий, юридических и физических лиц в решение задач по снижению энергоемкости продукции;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147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повышение энергетической эффективности существующего и вновь возводимого жилого фонда, объектов промышленного и гражданского назначения;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147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стимулирование производителей к разработке энергоэффективной, ресурсосберегающей, экологичной продукции и технологий и их активному внедрению в практику;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147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популяризация энергоэффективной продукции (товаров, технологий, оборудования, решений) среди потребителей на отечественном рынке;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867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внедрение эффективных моделей энергопотребления на основе ВИЭ;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147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выявление и содействие активному внедрению в народном хозяйстве технологических решений, наилучшим образом использующих потенциал энергосбережения;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147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повышение осведомленности населения, общественности о принципах и актуальности энерго- и ресурсосбережения, эффективного энергопотребления;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147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содействие обмену передовым опытом в сфере эффективного энергопотребления, энерго- и ресурсосбережения, экологичности.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202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Принципы Конкурса: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Открытость.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Конкурс открыт для участия юридических лиц и индивидуальных предпринимателей любой формы собственности, предлагающих энергоэффективные продукты на рынке Беларуси, а также экспортирующих их за рубеж, независимо от размеров предприятий и иных характеристик.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7253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Объективность.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Решение о присуждении премии принимается Экспертным советом Конкурса на основе объективного анализа и сравнения технических характеристик заявленных продуктов, а также данных об их экономической эффективности, подтвержденных</w:t>
        <w:tab/>
        <w:t>соответствующими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документами (сертификатами, протоколами испытаний, отзывами потребителей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 др.). Работа Экспертного совета конкурса строится на основе беспристрастности и объективности. Члены Экспертного совета не могут представлять лиц, претендующих на победу в Конкурсе.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Профессиональная экспертиза.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Экспертиза заявленных продуктов осуществляется специалистами, являющимися экспертами в своей предметной области, хорошо знающими соответствующую продукцию и обладающими высоким авторитетом в профессиональном сообществе. Помимо физико</w:t>
        <w:softHyphen/>
        <w:t>технических, финансово-экономических характеристик заявленных продуктов экспертами учитывается ряд дополнительных факторов: опыт применения продукта, полученный экономический эффект в результате внедрения, наличие рекламаций со стороны потребителей, наличие системы менеджмента качества на предприятии и др., что позволяет им объективно и всесторонне оценить уровень конкурсных продуктов.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Общественная и практическая значимость.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Конкурс стимулирует внедрение энергоэффективной продукции и технологий на рынке Республики Беларусь, развитие конкурентных отношений между предприятиями способствует более полному удовлетворению нужд потребителей. Для предприятий-участников Конкурс служит эффективным маркетинговым инструментом в продвижении своей продукции.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53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Конкурс имеет общественный характер. Его инициаторами могут выступать представители заинтересованных научно-исследовательских и образовательных учреждений, местных и республиканских органов государственного управления, подчиненных Правительству Республики Беларусь, ведущие активную популяризацию и внедрение идей энергоэффективности (далее - Инициативная группа).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973" w:val="left"/>
        </w:tabs>
        <w:bidi w:val="0"/>
        <w:spacing w:before="0" w:after="32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Периодичность проведения Конкурса - один раз в год.</w:t>
      </w:r>
    </w:p>
    <w:p>
      <w:pPr>
        <w:pStyle w:val="Style11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1056" w:val="left"/>
        </w:tabs>
        <w:bidi w:val="0"/>
        <w:spacing w:before="0" w:after="0" w:line="240" w:lineRule="auto"/>
        <w:ind w:left="0" w:right="0"/>
        <w:jc w:val="both"/>
      </w:pPr>
      <w:bookmarkStart w:id="4" w:name="bookmark4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Организация Конкурса</w:t>
      </w:r>
      <w:bookmarkEnd w:id="4"/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53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целях организации Конкурса, обеспечения соблюдения процедуры, основных правил и принципов настоящего Положения создаются: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Организационный комитет Конкурса,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Экспертный совет Конкурса (жюри),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Наблюдательный совет Конкурса.</w:t>
      </w:r>
    </w:p>
    <w:p>
      <w:pPr>
        <w:pStyle w:val="Style11"/>
        <w:keepNext/>
        <w:keepLines/>
        <w:widowControl w:val="0"/>
        <w:numPr>
          <w:ilvl w:val="1"/>
          <w:numId w:val="1"/>
        </w:numPr>
        <w:shd w:val="clear" w:color="auto" w:fill="auto"/>
        <w:tabs>
          <w:tab w:pos="1973" w:val="left"/>
        </w:tabs>
        <w:bidi w:val="0"/>
        <w:spacing w:before="0" w:after="0" w:line="240" w:lineRule="auto"/>
        <w:ind w:left="0" w:right="0"/>
        <w:jc w:val="both"/>
      </w:pPr>
      <w:bookmarkStart w:id="6" w:name="bookmark6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Организационный комитет</w:t>
      </w:r>
      <w:bookmarkEnd w:id="6"/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60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Организационный комитет Конкурса (далее - Оргкомитет) формируется из представителей организаций-инициаторов и председателя Экспертного совета.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60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Оргкомитет несет ответственность за нарушение настоящего Положения, правил и процедур при подготовке и проведении Конкурса.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232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компетенцию Оргкомитета входят следующие вопросы: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51" w:val="left"/>
        </w:tabs>
        <w:bidi w:val="0"/>
        <w:spacing w:before="0" w:after="0" w:line="240" w:lineRule="auto"/>
        <w:ind w:left="72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разработка и утверждение нормативных документов о Конкурсе (Положение, заявка, анкеты и др.), предложений по совершенствованию его процедуры;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51" w:val="left"/>
        </w:tabs>
        <w:bidi w:val="0"/>
        <w:spacing w:before="0" w:after="16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утверждение состава Экспертного и Наблюдательного советов;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64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утверждение календарного графика проведения Конкурса;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64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избрание председателя и заместителя председателя оргкомитета;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64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координация работы участников и партнеров Конкурса;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4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формирование при необходимости временных рабочих групп и координация их работы;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4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взаимодействие с инфопартнерами, проведение информационно</w:t>
        <w:softHyphen/>
        <w:t>рекламных мероприятий по популяризации Конкурса и продвижению победителей в средствах массовых информации;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4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привлечение на Конкурс заявителей и партнеров, оформление с ними договорных отношений;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40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сбор конкурсных заявок и пакетов, проверка их комплектности и организация их оценки членами Экспертного совета;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64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решение текущих задач, связанных с проведением Конкурса;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40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подготовка и проведение заседаний Экспертного и Наблюдательного советов;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64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подготовка информационных и презентационных материалов;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64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организация и проведение Церемонии награждения;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45" w:val="left"/>
          <w:tab w:pos="4186" w:val="left"/>
          <w:tab w:pos="8256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организация семинаров, «круглых столов», других мероприятий с целью популяризации Конкурса,</w:t>
        <w:tab/>
        <w:t>привлечения заявителей,</w:t>
        <w:tab/>
        <w:t>повышения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профессионального уровня специалистов предприятий-участников и партнеров Конкурса;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050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реализация других мероприятий, направленных на расширение числа участников Конкурса, увеличение его практической ценности для заявителей, повышение престижности и авторитета Конкурса.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2368" w:val="left"/>
        </w:tabs>
        <w:bidi w:val="0"/>
        <w:spacing w:before="0" w:after="0" w:line="240" w:lineRule="auto"/>
        <w:ind w:left="0" w:right="0" w:firstLine="80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Оргкомитет обязан: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040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обеспечить работу по проведению конкурсных мероприятий и соблюдение календарного графика Конкурса;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706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обеспечить соблюдение процедуры Конкурса;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050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обеспечить контроль за деятельностью Технического организатора Конкурса.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236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Оргкомитет имеет право: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04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отказать заявителю в участии в случае несоблюдения им требований настоящего Положения;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706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дисквалифицировать заявителя за нарушение установленных правил;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050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дисквалифицировать заявителя за несоответствия его заявки требованиям и условиям проведения Конкурса;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04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 случае нарушения процедуры Конкурса в процессе выбора победителей, либо возникновения претензий со стороны заявителя </w:t>
      </w:r>
      <w:r>
        <w:rPr>
          <w:color w:val="0078D4"/>
          <w:spacing w:val="0"/>
          <w:w w:val="100"/>
          <w:position w:val="0"/>
          <w:shd w:val="clear" w:color="auto" w:fill="auto"/>
          <w:lang w:val="ru-RU" w:eastAsia="ru-RU" w:bidi="ru-RU"/>
        </w:rPr>
        <w:t>-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передать вопрос на рассмотрение Наблюдательного совета.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706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Оргкомитет принимает решение о назначении </w:t>
      </w: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Технического организатора Конкурса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юридического лица, которое от имени Оргкомитета осуществляет работу по непосредственному проведению и финансированию конкурсных мероприятий, в том числе: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64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проведение информационно-рекламных мероприятий;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27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привлечение на Конкурс заявителей и партнеров, оформление с ними договорных отношений;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17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аккумулирование на своих счетах организационных взносов участников, а также спонсорских средств;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17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финансирование расходов, связанных с проведением Конкурса, за счет организационных взносов участников, а также спонсорских средств;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22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сбор конкурсных заявок и пакетов, проверку их комплектности и передачу в Экспертный совет;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27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проверку представленного заявителем конкурсного пакета на полноту, достоверность и соответствие установленным требованиям;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4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организацию и проведение Церемонии награждения;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142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организацию информационного обеспечения и взаимодействия организаторов и участников Конкурса;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4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решение оперативных задач, связанных с проведением Конкурса;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17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назначение Председателя и Заместителя председателя Экспертного совета Конкурса из числа экспертов;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17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подготовку заседаний Оргкомитета, Экспертного и Наблюдательного советов, ведение протокола;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142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подготовку информационных материалов и передачу их для распространения в средства массовой информации, включая информацию о победителях Конкурса;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22" w:val="left"/>
          <w:tab w:pos="4186" w:val="left"/>
          <w:tab w:pos="8251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организацию семинаров, «круглых столов», других мероприятий с целью популяризации Конкурса,</w:t>
        <w:tab/>
        <w:t>привлечения заявителей,</w:t>
        <w:tab/>
        <w:t>повышения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профессионального уровня специалистов предприятий-участников и партнеров Конкурса и другое, что не противоречит условиям, целям и задачам Конкурса.</w:t>
      </w:r>
    </w:p>
    <w:p>
      <w:pPr>
        <w:pStyle w:val="Style11"/>
        <w:keepNext/>
        <w:keepLines/>
        <w:widowControl w:val="0"/>
        <w:numPr>
          <w:ilvl w:val="1"/>
          <w:numId w:val="1"/>
        </w:numPr>
        <w:shd w:val="clear" w:color="auto" w:fill="auto"/>
        <w:tabs>
          <w:tab w:pos="1925" w:val="left"/>
        </w:tabs>
        <w:bidi w:val="0"/>
        <w:spacing w:before="0" w:after="0" w:line="240" w:lineRule="auto"/>
        <w:ind w:left="0" w:right="0"/>
        <w:jc w:val="both"/>
      </w:pPr>
      <w:bookmarkStart w:id="8" w:name="bookmark8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Экспертный совет</w:t>
      </w:r>
      <w:bookmarkEnd w:id="8"/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492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Экспертный совет Конкурса формируется из представителей научно</w:t>
        <w:softHyphen/>
        <w:t>исследовательских, испытательных, образовательных и иных учреждений республики, непосредственно не участвующих в производстве и реализации энергоэффективной продукции и технологий в действующих хозяйствующих субъектах. Состав Экспертного совета утверждается Оргкомитетом Конкурса.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487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Члены Экспертного совета осуществляют экспертизу продуктов (проектов, объектов и др.), предоставляемых участниками, Экспертный совет в соответствии с процедурой оценки рассматривает результаты экспертизы и выносит решение о присуждении либо не присуждении наград.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2122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Экспертный совет: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027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формирует перечень обязательной документации, представляемой на Конкурс участниками в конкурсном пакете (Приложение 1);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027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проводит экспертизу физико-технических, экономических и иных характеристик представленных продуктов (проектов, объектов и др.) в соответствии с процедурой оценки, готовит экспертное заключение;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027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основании результатов проведенной экспертизы оценивает заявленные на Конкурс продукты и принимает решение о присуждении наград участникам Конкурса;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99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предоставляет участникам информацию о решениях, принятых по их продуктам в письменном виде;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99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несет ответственность за объективность, достоверность, компетентность и беспристрастность результатов проводимой оценки;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99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возникновении спорных ситуаций может осуществлять дополнительное рассмотрение материалов заявителей при участии членов Наблюдательного совета.</w:t>
      </w:r>
    </w:p>
    <w:p>
      <w:pPr>
        <w:pStyle w:val="Style11"/>
        <w:keepNext/>
        <w:keepLines/>
        <w:widowControl w:val="0"/>
        <w:numPr>
          <w:ilvl w:val="1"/>
          <w:numId w:val="1"/>
        </w:numPr>
        <w:shd w:val="clear" w:color="auto" w:fill="auto"/>
        <w:tabs>
          <w:tab w:pos="1925" w:val="left"/>
        </w:tabs>
        <w:bidi w:val="0"/>
        <w:spacing w:before="0" w:after="0" w:line="240" w:lineRule="auto"/>
        <w:ind w:left="0" w:right="0"/>
        <w:jc w:val="both"/>
      </w:pPr>
      <w:bookmarkStart w:id="10" w:name="bookmark10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Наблюдательный совет</w:t>
      </w:r>
      <w:bookmarkEnd w:id="10"/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513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Наблюдательный совет Конкурса является органом контроля за соблюдением основных правил и требований настоящего Положения о Конкурсе. Наблюдательный совет также выполняет функцию третейского судьи при возникновении спорных вопросов между заявителями и Экспертным советом по вопросам присуждения наград.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513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Наблюдательный совет Конкурса формируется из числа авторитетных представителей научно-исследовательских, испытательных и образовательных учреждений республики, органов государственного управления, общественных организаций и профессиональных объединений.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220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Наблюдательный совет Конкурса ежегодно обновляется.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513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Состав Наблюдательного совета Конкурса определяется Оргкомитетом Конкурса.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220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состав Наблюдательного совета входит не менее трех человек.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513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Решения, принимаемые Наблюдательным советом Конкурса в рамках своей компетенции правомочны при наличии простого большинства его членов.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54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целях повышения статуса Конкурса к его проведению привлекаются партнеры: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014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Генеральный (Официальный, Специальный) партнеры Конкурса;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014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Информационные партнеры Конкурса/номинаций;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014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иные партнеры.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513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качестве Генерального партнера Конкурса могут выступать авторитетные предприятия (не более одной организации в году). Приоритет при присуждении статуса Генерального партнера Конкурса отдается предприятиям, становившихся победителями Конкурса в предшествующие годы, а также являющимся лидерами в соответствующих сегментах рынка.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513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 участию в качестве Официальных партнеров Конкурса привлекаются известные предприятия различных отраслей, обладающие высоким авторитетом среди профессиональной общественности (не более трех организаций в году).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513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качестве Информационных партнеров Конкурса, а также отдельных номинаций приглашаются ведущие общественно-политические и специализированные СМИ, а также иные организации, осуществляющие коммуникацию с потенциальными заявителями. Информационный партнер осуществляет освещение Конкурса в период подготовки, проведения и подведения итогов.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606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 организации конкурсных мероприятий также могут быть привлечены иные организации, деятельность которых может представлять ценность для участников и организаторов Конкурса.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606" w:val="left"/>
        </w:tabs>
        <w:bidi w:val="0"/>
        <w:spacing w:before="0" w:after="32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Решение о присуждении статуса партнера принимается Оргкомитетом по представлению Технического организатора. Права и обязанности партнеров Конкурса определяются соответствующим договором, заключаемым между организацией-партнером и Техническим организатором.</w:t>
      </w:r>
    </w:p>
    <w:p>
      <w:pPr>
        <w:pStyle w:val="Style11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1098" w:val="left"/>
        </w:tabs>
        <w:bidi w:val="0"/>
        <w:spacing w:before="0" w:after="0" w:line="240" w:lineRule="auto"/>
        <w:ind w:left="0" w:right="0"/>
        <w:jc w:val="both"/>
      </w:pPr>
      <w:bookmarkStart w:id="12" w:name="bookmark12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Знак Конкурса</w:t>
      </w:r>
      <w:bookmarkEnd w:id="12"/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90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Знак (логотип) Конкурса является интеллектуальной собственностью технического организатора. Данное право защищено законодательством Республики Беларусь об авторских и смежных правах.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80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Правила использования Знака регламентируется специальным соглашением между организаторами и победителями Конкурса.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8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Знак Конкурса может использоваться только организациями- победителями Конкурса, в рекламе продуктов, отмеченных Экспертным советом наградами, за исключением случаев согласно п. 3.7.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939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Использование Знака Конкурса возможно в следующих случаях: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104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упаковке продукции, признанной победителем Конкурса;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1200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рекламных материалах, посвященных продукции, признанной победителем Конкурса (в средствах печатной, телевизионной, наружной и иной рекламы).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8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Год, указанный на Знаке, должен соответствовать году присуждения данному продукту награды.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939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Не допускается использование Знака Конкурса:</w:t>
      </w:r>
    </w:p>
    <w:p>
      <w:pPr>
        <w:pStyle w:val="Style2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026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организациями, не участвовавшими в Конкурсе и не получившими статус победителя (кроме случаев согласно п. 3.7.);</w:t>
      </w:r>
    </w:p>
    <w:p>
      <w:pPr>
        <w:pStyle w:val="Style2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030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рекламе продуктов, не признававшихся победителем Конкурса, в том числе продуктов, являющихся модификациями продукта-победителя;</w:t>
      </w:r>
    </w:p>
    <w:p>
      <w:pPr>
        <w:pStyle w:val="Style2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606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использование Знака с измененным годом.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85" w:val="left"/>
        </w:tabs>
        <w:bidi w:val="0"/>
        <w:spacing w:before="0" w:after="32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Допускается передача организацией-победителем права на использование Знака организациям, являющимся ее официальными торговыми партнерами (дистрибьюторами, дилерами и др.), для использования в рекламе продукта-победителя.</w:t>
      </w:r>
    </w:p>
    <w:p>
      <w:pPr>
        <w:pStyle w:val="Style11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1088" w:val="left"/>
        </w:tabs>
        <w:bidi w:val="0"/>
        <w:spacing w:before="0" w:after="0" w:line="240" w:lineRule="auto"/>
        <w:ind w:left="0" w:right="0"/>
        <w:jc w:val="both"/>
      </w:pPr>
      <w:bookmarkStart w:id="14" w:name="bookmark14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Участие в Конкурсе</w:t>
      </w:r>
      <w:bookmarkEnd w:id="14"/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99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Участие в Конкурсе в соответствующей номинации может принять: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606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резидент Республики Беларусь любой формы собственности, который в зависимости от заявляемого продукта, потенциально имеющего возможность быть признанным энергоэффективным по соответствующим признакам, осуществляет: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026" w:val="left"/>
        </w:tabs>
        <w:bidi w:val="0"/>
        <w:spacing w:before="0" w:after="32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разработку, производство, поставку, монтаж (устройство) в категории «Материал, изделие, оборудование, система»;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980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разработку, проектирование, производство, поставку, монтаж (устройство) в категории «Технология, система»;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98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проектирование, строительство здания, сооружение, энергообъект в целом в категории «Здание, сооружение, энергообъект».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55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не резидент Республики Беларусь, который осуществляет свою деятельность на территории Республики Беларусь, Российской Федерации и других стран СНГ, согласно национального законодательства и чья деятельность соответствует критериям настоящего Положения.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72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Организация-заявитель имеет право заявить на Конкурс один либо несколько продуктов и самостоятельно определять номинации, в которых участвуют ее продукты.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72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заявленные продукты должны быть в наличии все необходимые документы для их применения на территории Республики Беларусь, в соответствии с перечнем (Приложение 1).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72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Организация-заявитель должна в срок, установленный графиком проведения Конкурса, оформить заявку (в бумажном и электронном варианте) по установленной форме и оправить техническому организатору, который обеспечит ее изучение профильным экспертом для вынесения заключения о соответствии критериям настоящего Положения.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72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положительном решении о соответствии заявки критериям настоящего Положения, заявка регистрируется, и эксперт через Технического организатора сообщает о необходимости предоставления аналитической справки (на бумажном носителе и в электронном формате).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аналитической справке (высылается на бумажном носителе и в электронном формате) описываются особенности и преимущества заявленного продукта (материала, технологии, решения, проекта, здания и т.д.) в сфере энергоэффективности, ресурсосбережения, экологичности.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электронном формате к заявке также прилагаются поясняющие документы (сертификаты, протоколы, заключения и т.д.), которые могут наиболее полно проиллюстрировать заявленные характеристики поданного на конкурс продукта.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Заявка, аналитическая справка и подтверждающие документы, входящие в конкурсный пакет, технический организатор направляет для оценки Экспертному совету.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72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После регистрации заявки Заявитель заключает договор с Техническим организатором Конкурса и после оплаты организационного взноса, установленного Оргкомитетом, получает статус полноправного участника Конкурса.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72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Участник Конкурса самостоятельно формирует и отправляет в Оргкомитет конкурсный пакет, включающий оригинал заявки, аналитическую справку, а также иные документы, подтверждающие характеристику продукта, для рассмотрения экспертами в соответствии с Приложением 1, но не позднее последнего дня приема заявок, согласно установленному календарному плану Конкурса.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9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Участники Конкурса имеют право:</w:t>
      </w:r>
    </w:p>
    <w:p>
      <w:pPr>
        <w:pStyle w:val="Style2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02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получать информацию о порядке проведения Конкурса и условиях участия в нем;</w:t>
      </w:r>
    </w:p>
    <w:p>
      <w:pPr>
        <w:pStyle w:val="Style2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020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обращаться в Оргкомитет за разъяснением требований настоящего Положения;</w:t>
      </w:r>
    </w:p>
    <w:p>
      <w:pPr>
        <w:pStyle w:val="Style2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020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отзывать заявку путем подачи в Оргкомитет официального уведомления не менее чем за две недели до окончания срока приема заявок;</w:t>
      </w:r>
    </w:p>
    <w:p>
      <w:pPr>
        <w:pStyle w:val="Style2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020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принимать участие в Церемонии награждения победителей, а также воспользоваться услугами, предоставляемыми Оргкомитетом, для продвижения своего продукта при получении звания Победитель конкурса;</w:t>
      </w:r>
    </w:p>
    <w:p>
      <w:pPr>
        <w:pStyle w:val="Style2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020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получить разъяснения со стороны Экспертного совета об основаниях принятого решения.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9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Участники Конкурса обязаны:</w:t>
      </w:r>
    </w:p>
    <w:p>
      <w:pPr>
        <w:pStyle w:val="Style2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1020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детально ознакомиться с Положением о Конкурсе, изучить требования, предъявляемые к заявителям Конкурса и представляемой документации;</w:t>
      </w:r>
    </w:p>
    <w:p>
      <w:pPr>
        <w:pStyle w:val="Style2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1016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соблюдать сроки подачи заявок и пакетов документов, оплаты организационных взносов;</w:t>
      </w:r>
    </w:p>
    <w:p>
      <w:pPr>
        <w:pStyle w:val="Style2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1020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соблюдать правила и процедуры, предусмотренные настоящим Положением.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433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Участники несут ответственность за:</w:t>
      </w:r>
    </w:p>
    <w:p>
      <w:pPr>
        <w:pStyle w:val="Style2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1020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достоверность и полноту информации, содержащейся в представленных на Конкурс документах;</w:t>
      </w:r>
    </w:p>
    <w:p>
      <w:pPr>
        <w:pStyle w:val="Style2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1020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соблюдение условий, правил и процедур, установленных настоящим Положением.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случае нарушения указанных требований Оргкомитет может лишить участника права на участие в Конкурсе. В этом случае Оргкомитет направляет участнику соответствующее официальное уведомление.</w:t>
      </w:r>
    </w:p>
    <w:p>
      <w:pPr>
        <w:pStyle w:val="Style11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1088" w:val="left"/>
        </w:tabs>
        <w:bidi w:val="0"/>
        <w:spacing w:before="0" w:after="0" w:line="240" w:lineRule="auto"/>
        <w:ind w:left="0" w:right="0"/>
        <w:jc w:val="both"/>
      </w:pPr>
      <w:bookmarkStart w:id="16" w:name="bookmark16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Номинации и категории Конкурса</w:t>
      </w:r>
      <w:bookmarkEnd w:id="16"/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9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Перечень номинаций, подноминаций и категорий определяется Оргкомитетом (Приложение 1). По инициативе членов Оргкомитета и Экспертного совета могут вводиться новые номинации либо исключаться неактуальные.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95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Перечень категорий является открытым и может быть расширен по инициативе членов Оргкомитета, Экспертного совета либо предприятий- участников. Введение новой категории по инициативе участника согласовывается и утверждается Оргкомитетом.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95" w:val="left"/>
        </w:tabs>
        <w:bidi w:val="0"/>
        <w:spacing w:before="0" w:after="180" w:line="276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Участники самостоятельно определяют номинации и категории Конкурса, в которых планируют участвовать. Оргкомитет оставляет за собой право при необходимости рекомендовать заявителю скорректировать номинации (категории) в случае обнаружения несоответствия с заявляемым продуктом (проектом, зданием и т.п.).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73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Принципы выбора победителей Конкурса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63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Проведение Конкурса призвано выявить продукты, проекты, здания и др. из числа представленных на Конкурс, которые обладают следующей совокупностью признаков: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476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техническими показателями продукта, проекта, здания и др., характеризующими его энергоэффективные характеристики и полученный эффект;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476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положительным результатом применения заявленного продукта, реализации проекта, строительства и эксплуатации здания на территории Республики Беларусь, документально подтвержденным экономическим эффектом;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476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применение данных продуктов, реализация проектов может быть масштабировано на другие регионы (предприятия, отрасли, объекты) и позволит мультиплицировать полученный эффект.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5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Победители Конкурса определяются по категориям и номинациям. В каждой номинации эксперты имеют право отметить наградой более одного продукта, если каждый из указанных продуктов получил высокую оценку Экспертного совета Конкурса.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5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Экспертный совет рассматривает представленные на Конкурс продукты и выносит решение о присуждении наград в пяти этапах:</w:t>
      </w:r>
    </w:p>
    <w:p>
      <w:pPr>
        <w:pStyle w:val="Style11"/>
        <w:keepNext/>
        <w:keepLines/>
        <w:widowControl w:val="0"/>
        <w:numPr>
          <w:ilvl w:val="2"/>
          <w:numId w:val="1"/>
        </w:numPr>
        <w:shd w:val="clear" w:color="auto" w:fill="auto"/>
        <w:tabs>
          <w:tab w:pos="1476" w:val="left"/>
        </w:tabs>
        <w:bidi w:val="0"/>
        <w:spacing w:before="0" w:after="0" w:line="240" w:lineRule="auto"/>
        <w:ind w:left="0" w:right="0"/>
        <w:jc w:val="both"/>
      </w:pPr>
      <w:bookmarkStart w:id="18" w:name="bookmark18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Этап предварительной оценки.</w:t>
      </w:r>
      <w:bookmarkEnd w:id="18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Проводится председателем и заместителем председателя Экспертного совета после получения заявки и аналитической справки (на соответствие заявки требованиям настоящего Положения и условиям Конкурса).</w:t>
      </w:r>
    </w:p>
    <w:p>
      <w:pPr>
        <w:pStyle w:val="Style11"/>
        <w:keepNext/>
        <w:keepLines/>
        <w:widowControl w:val="0"/>
        <w:numPr>
          <w:ilvl w:val="2"/>
          <w:numId w:val="1"/>
        </w:numPr>
        <w:shd w:val="clear" w:color="auto" w:fill="auto"/>
        <w:tabs>
          <w:tab w:pos="1476" w:val="left"/>
        </w:tabs>
        <w:bidi w:val="0"/>
        <w:spacing w:before="0" w:after="0" w:line="240" w:lineRule="auto"/>
        <w:ind w:left="0" w:right="0"/>
        <w:jc w:val="both"/>
      </w:pPr>
      <w:bookmarkStart w:id="20" w:name="bookmark20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Этап регистрации заявителя участником конкурса.</w:t>
      </w:r>
      <w:bookmarkEnd w:id="2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этот период заявитель обязан в</w:t>
      </w:r>
      <w:r>
        <w:rPr>
          <w:color w:val="002B4D"/>
          <w:spacing w:val="0"/>
          <w:w w:val="100"/>
          <w:position w:val="0"/>
          <w:shd w:val="clear" w:color="auto" w:fill="auto"/>
          <w:lang w:val="ru-RU" w:eastAsia="ru-RU" w:bidi="ru-RU"/>
        </w:rPr>
        <w:t>_</w:t>
      </w:r>
      <w:r>
        <w:rPr>
          <w:color w:val="0078D4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электроном виде представить пакет документов, которые по мнению Заявителя могут доказать/ продемонстрировать уникальные преимущества и особенности заявленного продукта (материала, технологии, решения, проекта, объекта) или предприятия в целом.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данном этапе Заявителем производится оплата первой части регистрационного взноса.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Все условия и перечень документов, необходимых для участия в конкурсе, размещен на сайте конкурса</w:t>
      </w:r>
      <w:r>
        <w:fldChar w:fldCharType="begin"/>
      </w:r>
      <w:r>
        <w:rPr/>
        <w:instrText> HYPERLINK "http://www.energokonkurs.by/" </w:instrText>
      </w:r>
      <w:r>
        <w:fldChar w:fldCharType="separate"/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www. energokonkurs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 xml:space="preserve">.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en-US" w:eastAsia="en-US" w:bidi="en-US"/>
        </w:rPr>
        <w:t>by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.</w:t>
      </w:r>
      <w:r>
        <w:fldChar w:fldCharType="end"/>
      </w:r>
    </w:p>
    <w:p>
      <w:pPr>
        <w:pStyle w:val="Style11"/>
        <w:keepNext/>
        <w:keepLines/>
        <w:widowControl w:val="0"/>
        <w:numPr>
          <w:ilvl w:val="2"/>
          <w:numId w:val="1"/>
        </w:numPr>
        <w:shd w:val="clear" w:color="auto" w:fill="auto"/>
        <w:tabs>
          <w:tab w:pos="1476" w:val="left"/>
        </w:tabs>
        <w:bidi w:val="0"/>
        <w:spacing w:before="0" w:after="0" w:line="240" w:lineRule="auto"/>
        <w:ind w:left="0" w:right="0"/>
        <w:jc w:val="both"/>
      </w:pPr>
      <w:bookmarkStart w:id="22" w:name="bookmark22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Этап экспертизы конкурсных пакетов группой профильных экспертов.</w:t>
      </w:r>
      <w:bookmarkEnd w:id="2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Группы профильных экспертов в электронном формате изучают и оценивают поданные заявки, выставляют баллы и готовят письменные экспертные заключения по заявленным продуктам.</w:t>
      </w:r>
    </w:p>
    <w:p>
      <w:pPr>
        <w:pStyle w:val="Style11"/>
        <w:keepNext/>
        <w:keepLines/>
        <w:widowControl w:val="0"/>
        <w:numPr>
          <w:ilvl w:val="2"/>
          <w:numId w:val="1"/>
        </w:numPr>
        <w:shd w:val="clear" w:color="auto" w:fill="auto"/>
        <w:tabs>
          <w:tab w:pos="1476" w:val="left"/>
        </w:tabs>
        <w:bidi w:val="0"/>
        <w:spacing w:before="0" w:after="0" w:line="240" w:lineRule="auto"/>
        <w:ind w:left="0" w:right="0"/>
        <w:jc w:val="both"/>
      </w:pPr>
      <w:bookmarkStart w:id="24" w:name="bookmark24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Этап итоговой оценки заявок Экспертным советом.</w:t>
      </w:r>
      <w:bookmarkEnd w:id="2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На итоговом заседании Экспертного совета рассматриваются заключения экспертов, проводятся сравнение полученных баллов, определяются победители Конкурса по степеням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(1, 2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либо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3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место) либо присуждается проигрыш.</w:t>
      </w:r>
    </w:p>
    <w:p>
      <w:pPr>
        <w:pStyle w:val="Style2"/>
        <w:keepNext w:val="0"/>
        <w:keepLines w:val="0"/>
        <w:widowControl w:val="0"/>
        <w:numPr>
          <w:ilvl w:val="2"/>
          <w:numId w:val="1"/>
        </w:numPr>
        <w:shd w:val="clear" w:color="auto" w:fill="auto"/>
        <w:tabs>
          <w:tab w:pos="1476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Этап награждения Победителей Конкурса.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Победителем признается участник Конкурса, чей продукт по результатам экспертной оценки набрал по совокупности критериев необходимую сумму баллов. Предприятие получает письмо-подтверждение о присуждении победы (см. таблица 1).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39" w:val="left"/>
          <w:tab w:pos="5803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рассмотрении заявок и выборе победителя члены Экспертного совета руководствуются конкурсными</w:t>
        <w:tab/>
        <w:t>пакетами, представленными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участниками. При необходимости может быть запрошена дополнительная информация, в том числе образцы продукции.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Кроме этого, экспертами может быть затребована возможность посещения предприятия для подтверждения или уточнения каких-либо заявленных характеристик, возможностей.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49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Участники Конкурса несут полную ответственность за полноту и достоверность представленных на Конкурс документов, а также убедительность фактов и аргументов, содержащихся в документах. Экспертный совет вправе согласиться с аргументами участника либо опровергнуть их. Экспертный совет не занимается самостоятельным поиском доказательств сведениям, содержащимся в документах участника.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44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Голосование Экспертного совета по каждой заявке осуществляется путем заполнения каждым экспертом Оценочного листа установленной формы с выставлением оценок. Оценка осуществляется на основании системы критериев, которая формируется отдельно для каждой номинации и может включать три и более группы критериев: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Группа технических критериев, оценивающих заявленные продукты с точки зрения показателей энергоэффективности, ресурсосбережения, экологичности;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2256" w:val="left"/>
          <w:tab w:pos="6130" w:val="left"/>
          <w:tab w:pos="8088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Группа</w:t>
        <w:tab/>
        <w:t>финансово-экономических</w:t>
        <w:tab/>
        <w:t>критериев,</w:t>
        <w:tab/>
        <w:t>отражающих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экономический эффект от применения данного продукта;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Группа маркетинговых критериев, характеризующих маркетинговые позиции продукта на рынке, степень его инновационности и др.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44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Полученные в процессе голосования оценки экспертов суммируются и выводится итоговая балльная оценка, рассчитанная на основе среднего показателя по следующей формуле: ИО = (О1 + О2 + О3... +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On)/n,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где ИО - итоговая оценка по данному продукту, О1, О2, О3...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On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оценка эксперта 1, оценка эксперта 2, оценка эксперта 3, оценка эксперта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n, n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количество проголосовавших экспертов.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1244" w:val="left"/>
        </w:tabs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Результаты голосования по каждому продукту фиксируются в протоколе, который подписывают члены Экспертного совета, присутствующие на заседании, включая Председателя. Протокол утверждается квалифицированным большинством участников заседания Экспертного совета.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1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Процедура экспертизы, оценки и выбора победителей Конкурса</w:t>
      </w:r>
    </w:p>
    <w:tbl>
      <w:tblPr>
        <w:tblOverlap w:val="never"/>
        <w:jc w:val="center"/>
        <w:tblLayout w:type="fixed"/>
      </w:tblPr>
      <w:tblGrid>
        <w:gridCol w:w="710"/>
        <w:gridCol w:w="2266"/>
        <w:gridCol w:w="2803"/>
        <w:gridCol w:w="1925"/>
        <w:gridCol w:w="1930"/>
      </w:tblGrid>
      <w:tr>
        <w:trPr>
          <w:trHeight w:val="24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Наименование этапа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Описание (Алгоритм)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Исполнитель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Результат</w:t>
            </w:r>
          </w:p>
        </w:tc>
      </w:tr>
      <w:tr>
        <w:trPr>
          <w:trHeight w:val="71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1 этап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Получение заявки и аналитической справки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1.1. Консультирование заявителя по вопросам порядка участия в Конкурсе;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Технический организатор,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Заявка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зарегистрирована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1046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(если</w:t>
              <w:tab/>
              <w:t>прошла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710"/>
        <w:gridCol w:w="2266"/>
        <w:gridCol w:w="2803"/>
        <w:gridCol w:w="1925"/>
        <w:gridCol w:w="1930"/>
      </w:tblGrid>
      <w:tr>
        <w:trPr>
          <w:trHeight w:val="346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1.2. Прием и проверка Заявки.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представитель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Экспертного совета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1704" w:val="righ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оценку соответствия требованиям настоящего Положения</w:t>
              <w:tab/>
              <w:t>и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1699" w:val="righ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условиям Конкурса)</w:t>
              <w:tab/>
              <w:t>либо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1704" w:val="righ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заявка</w:t>
              <w:tab/>
              <w:t>отклонена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(за несоответствие) Рекомендации экспертов по сбору необходимого пакта документов пактов от Заявителя.</w:t>
            </w:r>
          </w:p>
        </w:tc>
      </w:tr>
      <w:tr>
        <w:trPr>
          <w:trHeight w:val="277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2 этап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Регистрация заявителя, прием пакетов документов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numPr>
                <w:ilvl w:val="1"/>
                <w:numId w:val="29"/>
              </w:numPr>
              <w:shd w:val="clear" w:color="auto" w:fill="auto"/>
              <w:tabs>
                <w:tab w:pos="350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Заключение договора с Техническим организатором Конкурса;</w:t>
            </w:r>
          </w:p>
          <w:p>
            <w:pPr>
              <w:pStyle w:val="Style18"/>
              <w:keepNext w:val="0"/>
              <w:keepLines w:val="0"/>
              <w:widowControl w:val="0"/>
              <w:numPr>
                <w:ilvl w:val="1"/>
                <w:numId w:val="29"/>
              </w:numPr>
              <w:shd w:val="clear" w:color="auto" w:fill="auto"/>
              <w:tabs>
                <w:tab w:pos="350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Оплата регистрационного взноса;</w:t>
            </w:r>
          </w:p>
          <w:p>
            <w:pPr>
              <w:pStyle w:val="Style18"/>
              <w:keepNext w:val="0"/>
              <w:keepLines w:val="0"/>
              <w:widowControl w:val="0"/>
              <w:numPr>
                <w:ilvl w:val="1"/>
                <w:numId w:val="29"/>
              </w:numPr>
              <w:shd w:val="clear" w:color="auto" w:fill="auto"/>
              <w:tabs>
                <w:tab w:pos="350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Прием основного пакета конкурсной документации для проверки;</w:t>
            </w:r>
          </w:p>
          <w:p>
            <w:pPr>
              <w:pStyle w:val="Style18"/>
              <w:keepNext w:val="0"/>
              <w:keepLines w:val="0"/>
              <w:widowControl w:val="0"/>
              <w:numPr>
                <w:ilvl w:val="1"/>
                <w:numId w:val="29"/>
              </w:numPr>
              <w:shd w:val="clear" w:color="auto" w:fill="auto"/>
              <w:tabs>
                <w:tab w:pos="350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Передача пакетов документов от Технического организатора Экспертному совету.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Технический организатор, члены Экспертного совета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Пакеты документов, готовые для предварительной экспертизы;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Договора с заявителями - участниками Конкурса.</w:t>
            </w:r>
          </w:p>
        </w:tc>
      </w:tr>
      <w:tr>
        <w:trPr>
          <w:trHeight w:val="207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3 этап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Экспертиза конкурсных пакетов, формирование экспертных заключений по заявленным продуктам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numPr>
                <w:ilvl w:val="1"/>
                <w:numId w:val="31"/>
              </w:numPr>
              <w:shd w:val="clear" w:color="auto" w:fill="auto"/>
              <w:tabs>
                <w:tab w:pos="346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Назначение ответственных экспертов из состава Экспертного совета;</w:t>
            </w:r>
          </w:p>
          <w:p>
            <w:pPr>
              <w:pStyle w:val="Style18"/>
              <w:keepNext w:val="0"/>
              <w:keepLines w:val="0"/>
              <w:widowControl w:val="0"/>
              <w:numPr>
                <w:ilvl w:val="1"/>
                <w:numId w:val="31"/>
              </w:numPr>
              <w:shd w:val="clear" w:color="auto" w:fill="auto"/>
              <w:tabs>
                <w:tab w:pos="346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Формирование ответственными экспертами экспертных заключений.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Председатель (заместитель Председателя) Экспертного совета, члены Экспертного совета, Технический организатор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Письменные заключения экспертов по итогам основной экспертизы</w:t>
            </w:r>
          </w:p>
        </w:tc>
      </w:tr>
      <w:tr>
        <w:trPr>
          <w:trHeight w:val="207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4 этап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Заседание Экспертного совета, голосование, подведение итогов Конкурса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numPr>
                <w:ilvl w:val="1"/>
                <w:numId w:val="33"/>
              </w:numPr>
              <w:shd w:val="clear" w:color="auto" w:fill="auto"/>
              <w:tabs>
                <w:tab w:pos="350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Заседание Экспертного совета;</w:t>
            </w:r>
          </w:p>
          <w:p>
            <w:pPr>
              <w:pStyle w:val="Style18"/>
              <w:keepNext w:val="0"/>
              <w:keepLines w:val="0"/>
              <w:widowControl w:val="0"/>
              <w:numPr>
                <w:ilvl w:val="1"/>
                <w:numId w:val="33"/>
              </w:numPr>
              <w:shd w:val="clear" w:color="auto" w:fill="auto"/>
              <w:tabs>
                <w:tab w:pos="350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Голосование;</w:t>
            </w:r>
          </w:p>
          <w:p>
            <w:pPr>
              <w:pStyle w:val="Style18"/>
              <w:keepNext w:val="0"/>
              <w:keepLines w:val="0"/>
              <w:widowControl w:val="0"/>
              <w:numPr>
                <w:ilvl w:val="1"/>
                <w:numId w:val="33"/>
              </w:numPr>
              <w:shd w:val="clear" w:color="auto" w:fill="auto"/>
              <w:tabs>
                <w:tab w:pos="350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Утверждение итогового протокола.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Председатель (заместитель Председателя) Экспертного совета, члены Экспертного совета, Технический организатор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Протокол заседания Экспертного совета; Перечень продуктов- победителей Конкурса.</w:t>
            </w:r>
          </w:p>
        </w:tc>
      </w:tr>
      <w:tr>
        <w:trPr>
          <w:trHeight w:val="255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5 этап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Церемония награждения победителей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numPr>
                <w:ilvl w:val="1"/>
                <w:numId w:val="35"/>
              </w:numPr>
              <w:shd w:val="clear" w:color="auto" w:fill="auto"/>
              <w:tabs>
                <w:tab w:pos="355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Информирование участников конкурса о результатах оценки поданных заявок;</w:t>
            </w:r>
          </w:p>
          <w:p>
            <w:pPr>
              <w:pStyle w:val="Style18"/>
              <w:keepNext w:val="0"/>
              <w:keepLines w:val="0"/>
              <w:widowControl w:val="0"/>
              <w:numPr>
                <w:ilvl w:val="1"/>
                <w:numId w:val="35"/>
              </w:numPr>
              <w:shd w:val="clear" w:color="auto" w:fill="auto"/>
              <w:tabs>
                <w:tab w:pos="355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Подписание актов выполненных работ;</w:t>
            </w:r>
          </w:p>
          <w:p>
            <w:pPr>
              <w:pStyle w:val="Style18"/>
              <w:keepNext w:val="0"/>
              <w:keepLines w:val="0"/>
              <w:widowControl w:val="0"/>
              <w:numPr>
                <w:ilvl w:val="1"/>
                <w:numId w:val="35"/>
              </w:numPr>
              <w:shd w:val="clear" w:color="auto" w:fill="auto"/>
              <w:tabs>
                <w:tab w:pos="355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Оплата второй части регистрационного взноса;</w:t>
            </w:r>
          </w:p>
          <w:p>
            <w:pPr>
              <w:pStyle w:val="Style18"/>
              <w:keepNext w:val="0"/>
              <w:keepLines w:val="0"/>
              <w:widowControl w:val="0"/>
              <w:numPr>
                <w:ilvl w:val="1"/>
                <w:numId w:val="35"/>
              </w:numPr>
              <w:shd w:val="clear" w:color="auto" w:fill="auto"/>
              <w:tabs>
                <w:tab w:pos="355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Проведение церемонии награждения - вручение наград.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Технический организатор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Акты выполненных работ, награды конкурса (дипломы, статуэтки), Рекламные публикации в СМИ</w:t>
            </w:r>
          </w:p>
        </w:tc>
      </w:tr>
    </w:tbl>
    <w:p>
      <w:pPr>
        <w:widowControl w:val="0"/>
        <w:spacing w:after="299" w:line="1" w:lineRule="exact"/>
      </w:pP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78" w:val="left"/>
        </w:tabs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Основные принципы присуждения наград: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06" w:val="left"/>
        </w:tabs>
        <w:bidi w:val="0"/>
        <w:spacing w:before="0" w:after="0" w:line="240" w:lineRule="auto"/>
        <w:ind w:left="0" w:right="0" w:firstLine="0"/>
        <w:jc w:val="left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В каждой категории первое место (диплом победителя 1-й степени) может быть присуждено только одному предприятию-участнику.</w:t>
      </w:r>
    </w:p>
    <w:p>
      <w:pPr>
        <w:pStyle w:val="Style2"/>
        <w:keepNext w:val="0"/>
        <w:keepLines w:val="0"/>
        <w:widowControl w:val="0"/>
        <w:numPr>
          <w:ilvl w:val="1"/>
          <w:numId w:val="1"/>
        </w:numPr>
        <w:shd w:val="clear" w:color="auto" w:fill="auto"/>
        <w:tabs>
          <w:tab w:pos="743" w:val="left"/>
        </w:tabs>
        <w:bidi w:val="0"/>
        <w:spacing w:before="0" w:after="0" w:line="240" w:lineRule="auto"/>
        <w:ind w:left="0" w:right="0" w:firstLine="0"/>
        <w:jc w:val="both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Второе и третье место (дипломы 2-й и 3-й степени) могут быть присуждены более чем одному предприятию.</w:t>
      </w:r>
    </w:p>
    <w:p>
      <w:pPr>
        <w:pStyle w:val="Style2"/>
        <w:keepNext w:val="0"/>
        <w:keepLines w:val="0"/>
        <w:widowControl w:val="0"/>
        <w:numPr>
          <w:ilvl w:val="1"/>
          <w:numId w:val="37"/>
        </w:numPr>
        <w:shd w:val="clear" w:color="auto" w:fill="auto"/>
        <w:tabs>
          <w:tab w:pos="743" w:val="left"/>
        </w:tabs>
        <w:bidi w:val="0"/>
        <w:spacing w:before="0" w:after="280" w:line="240" w:lineRule="auto"/>
        <w:ind w:left="0" w:right="0" w:firstLine="0"/>
        <w:jc w:val="both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Экспертный совет вправе не присуждать первое место в категории (оставить его вакантным), если ни один претендент не набрал необходимого количества баллов.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364" w:val="left"/>
        </w:tabs>
        <w:bidi w:val="0"/>
        <w:spacing w:before="0" w:after="0" w:line="240" w:lineRule="auto"/>
        <w:ind w:left="0" w:right="0" w:firstLine="0"/>
        <w:jc w:val="both"/>
        <w:rPr>
          <w:sz w:val="26"/>
          <w:szCs w:val="26"/>
        </w:rPr>
      </w:pP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Критериальная система.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Оценка деятельности предприятия и его продукта в рамках конкурса осуществляется на основе прописанной системы критериев, утвержденной председателем Оргкомитета. В каждой номинации применяется своя критериальная система.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364" w:val="left"/>
        </w:tabs>
        <w:bidi w:val="0"/>
        <w:spacing w:before="0" w:after="0" w:line="240" w:lineRule="auto"/>
        <w:ind w:left="0" w:right="0" w:firstLine="0"/>
        <w:jc w:val="both"/>
        <w:rPr>
          <w:sz w:val="26"/>
          <w:szCs w:val="26"/>
        </w:rPr>
      </w:pP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Достоверность информации Заявителей и ее верификация.</w:t>
      </w:r>
    </w:p>
    <w:p>
      <w:pPr>
        <w:pStyle w:val="Style2"/>
        <w:keepNext w:val="0"/>
        <w:keepLines w:val="0"/>
        <w:widowControl w:val="0"/>
        <w:numPr>
          <w:ilvl w:val="1"/>
          <w:numId w:val="39"/>
        </w:numPr>
        <w:shd w:val="clear" w:color="auto" w:fill="auto"/>
        <w:tabs>
          <w:tab w:pos="743" w:val="left"/>
        </w:tabs>
        <w:bidi w:val="0"/>
        <w:spacing w:before="0" w:after="0" w:line="240" w:lineRule="auto"/>
        <w:ind w:left="0" w:right="0" w:firstLine="0"/>
        <w:jc w:val="both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Ответственность за достоверность предоставляемой на конкурс информации (в рамках конкурсных пакетов) несет предприятие-заявитель. В случае обнаружения недостоверности предоставленных сведений или подлога Экспертный совет вправе снизить оценку предприятию либо дисквалифицировать его.</w:t>
      </w:r>
    </w:p>
    <w:p>
      <w:pPr>
        <w:pStyle w:val="Style2"/>
        <w:keepNext w:val="0"/>
        <w:keepLines w:val="0"/>
        <w:widowControl w:val="0"/>
        <w:numPr>
          <w:ilvl w:val="1"/>
          <w:numId w:val="39"/>
        </w:numPr>
        <w:shd w:val="clear" w:color="auto" w:fill="auto"/>
        <w:tabs>
          <w:tab w:pos="743" w:val="left"/>
        </w:tabs>
        <w:bidi w:val="0"/>
        <w:spacing w:before="0" w:after="0" w:line="240" w:lineRule="auto"/>
        <w:ind w:left="0" w:right="0" w:firstLine="0"/>
        <w:jc w:val="both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Верификация сведений, представленных предприятием-заявителем, осуществляется путем:</w:t>
      </w:r>
    </w:p>
    <w:p>
      <w:pPr>
        <w:pStyle w:val="Style2"/>
        <w:keepNext w:val="0"/>
        <w:keepLines w:val="0"/>
        <w:widowControl w:val="0"/>
        <w:numPr>
          <w:ilvl w:val="2"/>
          <w:numId w:val="39"/>
        </w:numPr>
        <w:shd w:val="clear" w:color="auto" w:fill="auto"/>
        <w:tabs>
          <w:tab w:pos="743" w:val="left"/>
        </w:tabs>
        <w:bidi w:val="0"/>
        <w:spacing w:before="0" w:after="0" w:line="240" w:lineRule="auto"/>
        <w:ind w:left="0" w:right="0" w:firstLine="0"/>
        <w:jc w:val="both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Анализа, сличения представленных в конкурсном пакете сведений (проводится профильными экспертами);</w:t>
      </w:r>
    </w:p>
    <w:p>
      <w:pPr>
        <w:pStyle w:val="Style2"/>
        <w:keepNext w:val="0"/>
        <w:keepLines w:val="0"/>
        <w:widowControl w:val="0"/>
        <w:numPr>
          <w:ilvl w:val="2"/>
          <w:numId w:val="39"/>
        </w:numPr>
        <w:shd w:val="clear" w:color="auto" w:fill="auto"/>
        <w:tabs>
          <w:tab w:pos="743" w:val="left"/>
        </w:tabs>
        <w:bidi w:val="0"/>
        <w:spacing w:before="0" w:after="0" w:line="240" w:lineRule="auto"/>
        <w:ind w:left="0" w:right="0" w:firstLine="0"/>
        <w:jc w:val="both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Сопоставления с данными предприятий-конкурентов, выявления несоответствий;</w:t>
      </w:r>
    </w:p>
    <w:p>
      <w:pPr>
        <w:pStyle w:val="Style2"/>
        <w:keepNext w:val="0"/>
        <w:keepLines w:val="0"/>
        <w:widowControl w:val="0"/>
        <w:numPr>
          <w:ilvl w:val="2"/>
          <w:numId w:val="39"/>
        </w:numPr>
        <w:shd w:val="clear" w:color="auto" w:fill="auto"/>
        <w:tabs>
          <w:tab w:pos="743" w:val="left"/>
        </w:tabs>
        <w:bidi w:val="0"/>
        <w:spacing w:before="0" w:after="0" w:line="240" w:lineRule="auto"/>
        <w:ind w:left="0" w:right="0" w:firstLine="0"/>
        <w:jc w:val="both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Посещения предприятия (его головного административного здания, производства, объекта и др.) экспертами (на выборочной основе);</w:t>
      </w:r>
    </w:p>
    <w:p>
      <w:pPr>
        <w:pStyle w:val="Style2"/>
        <w:keepNext w:val="0"/>
        <w:keepLines w:val="0"/>
        <w:widowControl w:val="0"/>
        <w:numPr>
          <w:ilvl w:val="2"/>
          <w:numId w:val="39"/>
        </w:numPr>
        <w:shd w:val="clear" w:color="auto" w:fill="auto"/>
        <w:tabs>
          <w:tab w:pos="743" w:val="left"/>
        </w:tabs>
        <w:bidi w:val="0"/>
        <w:spacing w:before="0" w:after="0" w:line="240" w:lineRule="auto"/>
        <w:ind w:left="0" w:right="0" w:firstLine="0"/>
        <w:jc w:val="both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Методом телефонного опроса;</w:t>
      </w:r>
    </w:p>
    <w:p>
      <w:pPr>
        <w:pStyle w:val="Style2"/>
        <w:keepNext w:val="0"/>
        <w:keepLines w:val="0"/>
        <w:widowControl w:val="0"/>
        <w:numPr>
          <w:ilvl w:val="2"/>
          <w:numId w:val="39"/>
        </w:numPr>
        <w:shd w:val="clear" w:color="auto" w:fill="auto"/>
        <w:tabs>
          <w:tab w:pos="743" w:val="left"/>
        </w:tabs>
        <w:bidi w:val="0"/>
        <w:spacing w:before="0" w:after="280" w:line="240" w:lineRule="auto"/>
        <w:ind w:left="0" w:right="0" w:firstLine="0"/>
        <w:jc w:val="both"/>
        <w:rPr>
          <w:sz w:val="26"/>
          <w:szCs w:val="26"/>
        </w:rPr>
      </w:pPr>
      <w:r>
        <w:rPr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Другие доступные методы.</w:t>
      </w:r>
    </w:p>
    <w:sectPr>
      <w:footnotePr>
        <w:pos w:val="pageBottom"/>
        <w:numFmt w:val="decimal"/>
        <w:numRestart w:val="continuous"/>
      </w:footnotePr>
      <w:pgSz w:w="11900" w:h="16840"/>
      <w:pgMar w:top="944" w:right="812" w:bottom="1262" w:left="1382" w:header="516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3896995</wp:posOffset>
              </wp:positionH>
              <wp:positionV relativeFrom="page">
                <wp:posOffset>9955530</wp:posOffset>
              </wp:positionV>
              <wp:extent cx="128270" cy="9144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8270" cy="9144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6.85000000000002pt;margin-top:783.89999999999998pt;width:10.1pt;height:7.20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rFonts w:ascii="Calibri" w:eastAsia="Calibri" w:hAnsi="Calibri" w:cs="Calibri"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6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8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1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1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1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16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18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2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2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2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26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28">
    <w:multiLevelType w:val="multilevel"/>
    <w:lvl w:ilvl="0">
      <w:start w:val="2"/>
      <w:numFmt w:val="decimal"/>
      <w:lvlText w:val="%1."/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30">
    <w:multiLevelType w:val="multilevel"/>
    <w:lvl w:ilvl="0">
      <w:start w:val="3"/>
      <w:numFmt w:val="decimal"/>
      <w:lvlText w:val="%1."/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32">
    <w:multiLevelType w:val="multilevel"/>
    <w:lvl w:ilvl="0">
      <w:start w:val="4"/>
      <w:numFmt w:val="decimal"/>
      <w:lvlText w:val="%1."/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34">
    <w:multiLevelType w:val="multilevel"/>
    <w:lvl w:ilvl="0">
      <w:start w:val="5"/>
      <w:numFmt w:val="decimal"/>
      <w:lvlText w:val="%1."/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abstractNum w:abstractNumId="36">
    <w:multiLevelType w:val="multilevel"/>
    <w:lvl w:ilvl="0">
      <w:start w:val="7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</w:lvl>
  </w:abstractNum>
  <w:abstractNum w:abstractNumId="38">
    <w:multiLevelType w:val="multilevel"/>
    <w:lvl w:ilvl="0">
      <w:start w:val="9"/>
      <w:numFmt w:val="decimal"/>
      <w:lvlText w:val="%1."/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  <w:num w:numId="39">
    <w:abstractNumId w:val="3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5">
    <w:name w:val="Колонтитул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8">
    <w:name w:val="Заголовок №1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CharStyle10">
    <w:name w:val="Основной текст (2)_"/>
    <w:basedOn w:val="DefaultParagraphFont"/>
    <w:link w:val="Styl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CharStyle12">
    <w:name w:val="Заголовок №2_"/>
    <w:basedOn w:val="DefaultParagraphFont"/>
    <w:link w:val="Style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19">
    <w:name w:val="Другое_"/>
    <w:basedOn w:val="DefaultParagraphFont"/>
    <w:link w:val="Style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4">
    <w:name w:val="Колонтитул (2)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7">
    <w:name w:val="Заголовок №1"/>
    <w:basedOn w:val="Normal"/>
    <w:link w:val="CharStyle8"/>
    <w:pPr>
      <w:widowControl w:val="0"/>
      <w:shd w:val="clear" w:color="auto" w:fill="auto"/>
      <w:spacing w:line="214" w:lineRule="auto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paragraph" w:customStyle="1" w:styleId="Style9">
    <w:name w:val="Основной текст (2)"/>
    <w:basedOn w:val="Normal"/>
    <w:link w:val="CharStyle10"/>
    <w:pPr>
      <w:widowControl w:val="0"/>
      <w:shd w:val="clear" w:color="auto" w:fill="auto"/>
      <w:ind w:firstLine="480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Style11">
    <w:name w:val="Заголовок №2"/>
    <w:basedOn w:val="Normal"/>
    <w:link w:val="CharStyle12"/>
    <w:pPr>
      <w:widowControl w:val="0"/>
      <w:shd w:val="clear" w:color="auto" w:fill="auto"/>
      <w:ind w:firstLine="720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18">
    <w:name w:val="Другое"/>
    <w:basedOn w:val="Normal"/>
    <w:link w:val="CharStyle19"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Администратор</dc:creator>
  <cp:keywords/>
</cp:coreProperties>
</file>